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8FF" w:rsidRPr="00A508FF" w:rsidRDefault="00A508FF" w:rsidP="00A508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A508FF">
        <w:rPr>
          <w:rFonts w:ascii="Arial" w:hAnsi="Arial" w:cs="Arial"/>
          <w:color w:val="231F20"/>
          <w:sz w:val="24"/>
          <w:szCs w:val="24"/>
        </w:rPr>
        <w:t>After section 194LB of the Income-tax Act, the following section shall be inserted with effect from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A508FF">
        <w:rPr>
          <w:rFonts w:ascii="Arial" w:hAnsi="Arial" w:cs="Arial"/>
          <w:color w:val="231F20"/>
          <w:sz w:val="24"/>
          <w:szCs w:val="24"/>
        </w:rPr>
        <w:t>the 1st day of the October, 2014, namely:––</w:t>
      </w:r>
    </w:p>
    <w:p w:rsidR="00A508FF" w:rsidRDefault="00A508FF" w:rsidP="00A508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A508FF" w:rsidRPr="00A508FF" w:rsidRDefault="00A508FF" w:rsidP="00A508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A508FF">
        <w:rPr>
          <w:rFonts w:ascii="Arial" w:hAnsi="Arial" w:cs="Arial"/>
          <w:color w:val="231F20"/>
          <w:sz w:val="24"/>
          <w:szCs w:val="24"/>
        </w:rPr>
        <w:t>“194LBA. (</w:t>
      </w:r>
      <w:r w:rsidRPr="00A508FF">
        <w:rPr>
          <w:rFonts w:ascii="Arial" w:hAnsi="Arial" w:cs="Arial"/>
          <w:i/>
          <w:iCs/>
          <w:color w:val="231F20"/>
          <w:sz w:val="24"/>
          <w:szCs w:val="24"/>
        </w:rPr>
        <w:t>1</w:t>
      </w:r>
      <w:r w:rsidRPr="00A508FF">
        <w:rPr>
          <w:rFonts w:ascii="Arial" w:hAnsi="Arial" w:cs="Arial"/>
          <w:color w:val="231F20"/>
          <w:sz w:val="24"/>
          <w:szCs w:val="24"/>
        </w:rPr>
        <w:t xml:space="preserve">) Where any </w:t>
      </w:r>
      <w:r w:rsidRPr="00A508FF">
        <w:rPr>
          <w:rFonts w:ascii="Arial" w:hAnsi="Arial" w:cs="Arial"/>
          <w:b/>
          <w:color w:val="231F20"/>
          <w:sz w:val="24"/>
          <w:szCs w:val="24"/>
        </w:rPr>
        <w:t>distributed income</w:t>
      </w:r>
      <w:r w:rsidRPr="00A508FF">
        <w:rPr>
          <w:rFonts w:ascii="Arial" w:hAnsi="Arial" w:cs="Arial"/>
          <w:color w:val="231F20"/>
          <w:sz w:val="24"/>
          <w:szCs w:val="24"/>
        </w:rPr>
        <w:t xml:space="preserve"> referred to in section 115UA, being of the nature referred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A508FF">
        <w:rPr>
          <w:rFonts w:ascii="Arial" w:hAnsi="Arial" w:cs="Arial"/>
          <w:color w:val="231F20"/>
          <w:sz w:val="24"/>
          <w:szCs w:val="24"/>
        </w:rPr>
        <w:t>to in clause (</w:t>
      </w:r>
      <w:r w:rsidRPr="00A508FF">
        <w:rPr>
          <w:rFonts w:ascii="Arial" w:hAnsi="Arial" w:cs="Arial"/>
          <w:i/>
          <w:iCs/>
          <w:color w:val="231F20"/>
          <w:sz w:val="24"/>
          <w:szCs w:val="24"/>
        </w:rPr>
        <w:t>23FC</w:t>
      </w:r>
      <w:r w:rsidRPr="00A508FF">
        <w:rPr>
          <w:rFonts w:ascii="Arial" w:hAnsi="Arial" w:cs="Arial"/>
          <w:color w:val="231F20"/>
          <w:sz w:val="24"/>
          <w:szCs w:val="24"/>
        </w:rPr>
        <w:t xml:space="preserve">) of section 10, is </w:t>
      </w:r>
      <w:r w:rsidRPr="00A508FF">
        <w:rPr>
          <w:rFonts w:ascii="Arial" w:hAnsi="Arial" w:cs="Arial"/>
          <w:b/>
          <w:color w:val="231F20"/>
          <w:sz w:val="24"/>
          <w:szCs w:val="24"/>
        </w:rPr>
        <w:t>payable by a business trust to its unit holder</w:t>
      </w:r>
      <w:r w:rsidRPr="00A508FF">
        <w:rPr>
          <w:rFonts w:ascii="Arial" w:hAnsi="Arial" w:cs="Arial"/>
          <w:color w:val="231F20"/>
          <w:sz w:val="24"/>
          <w:szCs w:val="24"/>
        </w:rPr>
        <w:t xml:space="preserve"> being a </w:t>
      </w:r>
      <w:r w:rsidRPr="00A508FF">
        <w:rPr>
          <w:rFonts w:ascii="Arial" w:hAnsi="Arial" w:cs="Arial"/>
          <w:b/>
          <w:color w:val="231F20"/>
          <w:sz w:val="24"/>
          <w:szCs w:val="24"/>
        </w:rPr>
        <w:t>resident</w:t>
      </w:r>
      <w:r w:rsidRPr="00A508FF">
        <w:rPr>
          <w:rFonts w:ascii="Arial" w:hAnsi="Arial" w:cs="Arial"/>
          <w:color w:val="231F20"/>
          <w:sz w:val="24"/>
          <w:szCs w:val="24"/>
        </w:rPr>
        <w:t>, the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A508FF">
        <w:rPr>
          <w:rFonts w:ascii="Arial" w:hAnsi="Arial" w:cs="Arial"/>
          <w:color w:val="231F20"/>
          <w:sz w:val="24"/>
          <w:szCs w:val="24"/>
        </w:rPr>
        <w:t>person responsible for making the payment shall at the time of credit of such payment to the account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A508FF">
        <w:rPr>
          <w:rFonts w:ascii="Arial" w:hAnsi="Arial" w:cs="Arial"/>
          <w:color w:val="231F20"/>
          <w:sz w:val="24"/>
          <w:szCs w:val="24"/>
        </w:rPr>
        <w:t xml:space="preserve">of the payee or at the time of payment thereof in cash or by the issue of a </w:t>
      </w:r>
      <w:proofErr w:type="spellStart"/>
      <w:r w:rsidRPr="00A508FF">
        <w:rPr>
          <w:rFonts w:ascii="Arial" w:hAnsi="Arial" w:cs="Arial"/>
          <w:color w:val="231F20"/>
          <w:sz w:val="24"/>
          <w:szCs w:val="24"/>
        </w:rPr>
        <w:t>cheque</w:t>
      </w:r>
      <w:proofErr w:type="spellEnd"/>
      <w:r w:rsidRPr="00A508FF">
        <w:rPr>
          <w:rFonts w:ascii="Arial" w:hAnsi="Arial" w:cs="Arial"/>
          <w:color w:val="231F20"/>
          <w:sz w:val="24"/>
          <w:szCs w:val="24"/>
        </w:rPr>
        <w:t xml:space="preserve"> or draft or by any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A508FF">
        <w:rPr>
          <w:rFonts w:ascii="Arial" w:hAnsi="Arial" w:cs="Arial"/>
          <w:color w:val="231F20"/>
          <w:sz w:val="24"/>
          <w:szCs w:val="24"/>
        </w:rPr>
        <w:t xml:space="preserve">other mode, whichever is earlier, </w:t>
      </w:r>
      <w:r w:rsidRPr="00A508FF">
        <w:rPr>
          <w:rFonts w:ascii="Arial" w:hAnsi="Arial" w:cs="Arial"/>
          <w:b/>
          <w:color w:val="231F20"/>
          <w:sz w:val="24"/>
          <w:szCs w:val="24"/>
        </w:rPr>
        <w:t>deduct income-tax</w:t>
      </w:r>
      <w:r w:rsidRPr="00A508FF">
        <w:rPr>
          <w:rFonts w:ascii="Arial" w:hAnsi="Arial" w:cs="Arial"/>
          <w:color w:val="231F20"/>
          <w:sz w:val="24"/>
          <w:szCs w:val="24"/>
        </w:rPr>
        <w:t xml:space="preserve"> thereon at the rate of </w:t>
      </w:r>
      <w:r w:rsidRPr="00A508FF">
        <w:rPr>
          <w:rFonts w:ascii="Arial" w:hAnsi="Arial" w:cs="Arial"/>
          <w:b/>
          <w:color w:val="231F20"/>
          <w:sz w:val="24"/>
          <w:szCs w:val="24"/>
        </w:rPr>
        <w:t>ten per cent</w:t>
      </w:r>
      <w:r w:rsidRPr="00A508FF">
        <w:rPr>
          <w:rFonts w:ascii="Arial" w:hAnsi="Arial" w:cs="Arial"/>
          <w:color w:val="231F20"/>
          <w:sz w:val="24"/>
          <w:szCs w:val="24"/>
        </w:rPr>
        <w:t>.</w:t>
      </w:r>
    </w:p>
    <w:p w:rsidR="00A508FF" w:rsidRDefault="00A508FF" w:rsidP="00A508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5015BD" w:rsidRPr="00A508FF" w:rsidRDefault="00A508FF" w:rsidP="00A508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A508FF">
        <w:rPr>
          <w:rFonts w:ascii="Arial" w:hAnsi="Arial" w:cs="Arial"/>
          <w:color w:val="231F20"/>
          <w:sz w:val="24"/>
          <w:szCs w:val="24"/>
        </w:rPr>
        <w:t>(</w:t>
      </w:r>
      <w:r w:rsidRPr="00A508FF">
        <w:rPr>
          <w:rFonts w:ascii="Arial" w:hAnsi="Arial" w:cs="Arial"/>
          <w:i/>
          <w:iCs/>
          <w:color w:val="231F20"/>
          <w:sz w:val="24"/>
          <w:szCs w:val="24"/>
        </w:rPr>
        <w:t>2</w:t>
      </w:r>
      <w:r w:rsidRPr="00A508FF">
        <w:rPr>
          <w:rFonts w:ascii="Arial" w:hAnsi="Arial" w:cs="Arial"/>
          <w:color w:val="231F20"/>
          <w:sz w:val="24"/>
          <w:szCs w:val="24"/>
        </w:rPr>
        <w:t xml:space="preserve">) Where any </w:t>
      </w:r>
      <w:r w:rsidRPr="00A508FF">
        <w:rPr>
          <w:rFonts w:ascii="Arial" w:hAnsi="Arial" w:cs="Arial"/>
          <w:b/>
          <w:color w:val="231F20"/>
          <w:sz w:val="24"/>
          <w:szCs w:val="24"/>
        </w:rPr>
        <w:t>distributed income</w:t>
      </w:r>
      <w:r w:rsidRPr="00A508FF">
        <w:rPr>
          <w:rFonts w:ascii="Arial" w:hAnsi="Arial" w:cs="Arial"/>
          <w:color w:val="231F20"/>
          <w:sz w:val="24"/>
          <w:szCs w:val="24"/>
        </w:rPr>
        <w:t xml:space="preserve"> referred to in section 115UA, being of the nature referred to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A508FF">
        <w:rPr>
          <w:rFonts w:ascii="Arial" w:hAnsi="Arial" w:cs="Arial"/>
          <w:color w:val="231F20"/>
          <w:sz w:val="24"/>
          <w:szCs w:val="24"/>
        </w:rPr>
        <w:t>in clause (</w:t>
      </w:r>
      <w:r w:rsidRPr="00A508FF">
        <w:rPr>
          <w:rFonts w:ascii="Arial" w:hAnsi="Arial" w:cs="Arial"/>
          <w:i/>
          <w:iCs/>
          <w:color w:val="231F20"/>
          <w:sz w:val="24"/>
          <w:szCs w:val="24"/>
        </w:rPr>
        <w:t>23FC</w:t>
      </w:r>
      <w:r w:rsidRPr="00A508FF">
        <w:rPr>
          <w:rFonts w:ascii="Arial" w:hAnsi="Arial" w:cs="Arial"/>
          <w:color w:val="231F20"/>
          <w:sz w:val="24"/>
          <w:szCs w:val="24"/>
        </w:rPr>
        <w:t xml:space="preserve">) of section 10, is </w:t>
      </w:r>
      <w:r w:rsidRPr="00A508FF">
        <w:rPr>
          <w:rFonts w:ascii="Arial" w:hAnsi="Arial" w:cs="Arial"/>
          <w:b/>
          <w:color w:val="231F20"/>
          <w:sz w:val="24"/>
          <w:szCs w:val="24"/>
        </w:rPr>
        <w:t>payable by a business trust to its unit holder</w:t>
      </w:r>
      <w:r w:rsidRPr="00A508FF">
        <w:rPr>
          <w:rFonts w:ascii="Arial" w:hAnsi="Arial" w:cs="Arial"/>
          <w:color w:val="231F20"/>
          <w:sz w:val="24"/>
          <w:szCs w:val="24"/>
        </w:rPr>
        <w:t xml:space="preserve">, being a </w:t>
      </w:r>
      <w:r w:rsidRPr="00A508FF">
        <w:rPr>
          <w:rFonts w:ascii="Arial" w:hAnsi="Arial" w:cs="Arial"/>
          <w:b/>
          <w:color w:val="231F20"/>
          <w:sz w:val="24"/>
          <w:szCs w:val="24"/>
        </w:rPr>
        <w:t>nonresident</w:t>
      </w:r>
      <w:r w:rsidRPr="00A508FF">
        <w:rPr>
          <w:rFonts w:ascii="Arial" w:hAnsi="Arial" w:cs="Arial"/>
          <w:color w:val="231F20"/>
          <w:sz w:val="24"/>
          <w:szCs w:val="24"/>
        </w:rPr>
        <w:t>,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A508FF">
        <w:rPr>
          <w:rFonts w:ascii="Arial" w:hAnsi="Arial" w:cs="Arial"/>
          <w:b/>
          <w:color w:val="231F20"/>
          <w:sz w:val="24"/>
          <w:szCs w:val="24"/>
        </w:rPr>
        <w:t>not being a company or a foreign company</w:t>
      </w:r>
      <w:r w:rsidRPr="00A508FF">
        <w:rPr>
          <w:rFonts w:ascii="Arial" w:hAnsi="Arial" w:cs="Arial"/>
          <w:color w:val="231F20"/>
          <w:sz w:val="24"/>
          <w:szCs w:val="24"/>
        </w:rPr>
        <w:t>, the person responsible for making the payment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A508FF">
        <w:rPr>
          <w:rFonts w:ascii="Arial" w:hAnsi="Arial" w:cs="Arial"/>
          <w:color w:val="231F20"/>
          <w:sz w:val="24"/>
          <w:szCs w:val="24"/>
        </w:rPr>
        <w:t>shall at the time of credit of such payment to the account of the payee or at the time of payment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A508FF">
        <w:rPr>
          <w:rFonts w:ascii="Arial" w:hAnsi="Arial" w:cs="Arial"/>
          <w:color w:val="231F20"/>
          <w:sz w:val="24"/>
          <w:szCs w:val="24"/>
        </w:rPr>
        <w:t xml:space="preserve">thereof in cash or by the issue of a </w:t>
      </w:r>
      <w:proofErr w:type="spellStart"/>
      <w:r w:rsidRPr="00A508FF">
        <w:rPr>
          <w:rFonts w:ascii="Arial" w:hAnsi="Arial" w:cs="Arial"/>
          <w:color w:val="231F20"/>
          <w:sz w:val="24"/>
          <w:szCs w:val="24"/>
        </w:rPr>
        <w:t>cheque</w:t>
      </w:r>
      <w:proofErr w:type="spellEnd"/>
      <w:r w:rsidRPr="00A508FF">
        <w:rPr>
          <w:rFonts w:ascii="Arial" w:hAnsi="Arial" w:cs="Arial"/>
          <w:color w:val="231F20"/>
          <w:sz w:val="24"/>
          <w:szCs w:val="24"/>
        </w:rPr>
        <w:t xml:space="preserve"> or draft or by any other mode, whichever is earlier,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A508FF">
        <w:rPr>
          <w:rFonts w:ascii="Arial" w:hAnsi="Arial" w:cs="Arial"/>
          <w:b/>
          <w:color w:val="231F20"/>
          <w:sz w:val="24"/>
          <w:szCs w:val="24"/>
        </w:rPr>
        <w:t>deduct income-tax</w:t>
      </w:r>
      <w:r w:rsidRPr="00A508FF">
        <w:rPr>
          <w:rFonts w:ascii="Arial" w:hAnsi="Arial" w:cs="Arial"/>
          <w:color w:val="231F20"/>
          <w:sz w:val="24"/>
          <w:szCs w:val="24"/>
        </w:rPr>
        <w:t xml:space="preserve"> thereon at the rate of </w:t>
      </w:r>
      <w:r w:rsidRPr="00A508FF">
        <w:rPr>
          <w:rFonts w:ascii="Arial" w:hAnsi="Arial" w:cs="Arial"/>
          <w:b/>
          <w:color w:val="231F20"/>
          <w:sz w:val="24"/>
          <w:szCs w:val="24"/>
        </w:rPr>
        <w:t>five per cent</w:t>
      </w:r>
      <w:r w:rsidRPr="00A508FF">
        <w:rPr>
          <w:rFonts w:ascii="Arial" w:hAnsi="Arial" w:cs="Arial"/>
          <w:color w:val="231F20"/>
          <w:sz w:val="24"/>
          <w:szCs w:val="24"/>
        </w:rPr>
        <w:t>.”.</w:t>
      </w:r>
    </w:p>
    <w:sectPr w:rsidR="005015BD" w:rsidRPr="00A508FF" w:rsidSect="005015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A508FF"/>
    <w:rsid w:val="005015BD"/>
    <w:rsid w:val="00A50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5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Kashish</dc:creator>
  <cp:lastModifiedBy>Kashish</cp:lastModifiedBy>
  <cp:revision>1</cp:revision>
  <dcterms:created xsi:type="dcterms:W3CDTF">2014-07-16T09:06:00Z</dcterms:created>
  <dcterms:modified xsi:type="dcterms:W3CDTF">2014-07-16T09:08:00Z</dcterms:modified>
</cp:coreProperties>
</file>